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bCs/>
          <w:sz w:val="44"/>
          <w:szCs w:val="44"/>
        </w:rPr>
        <w:t>迪庆州</w:t>
      </w:r>
      <w:r>
        <w:rPr>
          <w:rFonts w:hint="eastAsia" w:ascii="方正小标宋简体" w:hAnsi="方正小标宋简体" w:eastAsia="方正小标宋简体" w:cs="方正小标宋简体"/>
          <w:b/>
          <w:bCs/>
          <w:sz w:val="44"/>
          <w:szCs w:val="44"/>
          <w:lang w:eastAsia="zh-CN"/>
        </w:rPr>
        <w:t>防震减灾局</w:t>
      </w:r>
      <w:r>
        <w:rPr>
          <w:rFonts w:hint="eastAsia" w:ascii="方正小标宋简体" w:hAnsi="方正小标宋简体" w:eastAsia="方正小标宋简体" w:cs="方正小标宋简体"/>
          <w:b/>
          <w:bCs/>
          <w:sz w:val="44"/>
          <w:szCs w:val="44"/>
        </w:rPr>
        <w:t>绩效管理信息</w:t>
      </w:r>
      <w:r>
        <w:rPr>
          <w:rFonts w:hint="eastAsia" w:ascii="方正小标宋简体" w:hAnsi="方正小标宋简体" w:eastAsia="方正小标宋简体" w:cs="方正小标宋简体"/>
          <w:sz w:val="44"/>
          <w:szCs w:val="44"/>
        </w:rPr>
        <w:t>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一、部门基本情况</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（一）、部门概况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机关内设三个科室，分别是：办公室、震害防御科、监测预报科。</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人员编制情况：全局编制12人，其中：行政编制11人，工勤人员编制1人。全局在职实有人数10人（含退休转在职1人）。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定编车数为2辆，公务用车实有数为2辆。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（二）、部门绩效目标的设立情况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部门目标绩效设立围绕本部门的主要职责：</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319" w:leftChars="152" w:right="0" w:rightChars="0" w:firstLine="320" w:firstLineChars="1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依照《中华人民共和国防震减灾法》及《云南省防震减灾条例》的规定监督检查防震减灾有关工作。</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2、负责落实国家防震减灾工作的方针、政策及防震减灾法律、法规；组织起草有关地方防震减灾法律、法规，并监督检查其执行情况。</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3、负责制定全州防震减灾事业中长期发展规划，编制全州防震减灾规划，并组织实施。</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4、管理全州地震监测预报工作。制定全州地震监测台网规划、地震监测预报方案，并组织实施；负责提出地震趋势预测意见和对策建议。</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5、会同有关部门拟定全州地震应急预案及综合防御措施，并检查监督及落实；负责速报震情和灾情，参与地震灾害损失评估；参与州、县政府制定灾区重建规划。</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6、管理全州建设工程场地地震安全性评价工作；负责地震安全性评价单位资质审查和执业人员资格审核。</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7、管理以地震动参数和烈度表述的抗震设防要求；审核全州重点建设项目的抗震设防要求；指导和监督重大建设工程及重要设施的抗震设防工作。</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8、推进地震科技现代化；组织管理全州地震科学技术研究与攻关、科技成果的推广应用。</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9、指导、协助、督促有关单位做好防震减灾知识的宣传教育和地震应急救援演练工作，提高社会公众的防震减灾意识。</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10、负责保护本行政区的地震监测设施、地震观测环境和地震遗址、遗迹。</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11、指导各县的防震减灾工作。</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12、承担州政府和上级地震行政主管部门交办的其他工作。</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（三）、部门整体收支情况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1、2016年度年初结转和结余</w:t>
      </w:r>
      <w:r>
        <w:rPr>
          <w:rFonts w:hint="eastAsia" w:ascii="仿宋_GB2312" w:hAnsi="仿宋_GB2312" w:eastAsia="仿宋_GB2312" w:cs="仿宋_GB2312"/>
          <w:sz w:val="32"/>
          <w:szCs w:val="32"/>
          <w:lang w:val="en-US" w:eastAsia="zh-CN"/>
        </w:rPr>
        <w:t>2605954.65</w:t>
      </w:r>
      <w:r>
        <w:rPr>
          <w:rFonts w:hint="eastAsia" w:ascii="仿宋_GB2312" w:hAnsi="仿宋_GB2312" w:eastAsia="仿宋_GB2312" w:cs="仿宋_GB2312"/>
          <w:sz w:val="32"/>
          <w:szCs w:val="32"/>
        </w:rPr>
        <w:t>元，本年收入</w:t>
      </w:r>
      <w:r>
        <w:rPr>
          <w:rFonts w:hint="eastAsia" w:ascii="仿宋_GB2312" w:hAnsi="仿宋_GB2312" w:eastAsia="仿宋_GB2312" w:cs="仿宋_GB2312"/>
          <w:sz w:val="32"/>
          <w:szCs w:val="32"/>
          <w:lang w:val="en-US" w:eastAsia="zh-CN"/>
        </w:rPr>
        <w:t>2312701.87</w:t>
      </w:r>
      <w:r>
        <w:rPr>
          <w:rFonts w:hint="eastAsia" w:ascii="仿宋_GB2312" w:hAnsi="仿宋_GB2312" w:eastAsia="仿宋_GB2312" w:cs="仿宋_GB2312"/>
          <w:sz w:val="32"/>
          <w:szCs w:val="32"/>
        </w:rPr>
        <w:t>元，其中;财政拨款</w:t>
      </w:r>
      <w:r>
        <w:rPr>
          <w:rFonts w:hint="eastAsia" w:ascii="仿宋_GB2312" w:hAnsi="仿宋_GB2312" w:eastAsia="仿宋_GB2312" w:cs="仿宋_GB2312"/>
          <w:sz w:val="32"/>
          <w:szCs w:val="32"/>
          <w:lang w:val="en-US" w:eastAsia="zh-CN"/>
        </w:rPr>
        <w:t>2282701.87</w:t>
      </w:r>
      <w:r>
        <w:rPr>
          <w:rFonts w:hint="eastAsia" w:ascii="仿宋_GB2312" w:hAnsi="仿宋_GB2312" w:eastAsia="仿宋_GB2312" w:cs="仿宋_GB2312"/>
          <w:sz w:val="32"/>
          <w:szCs w:val="32"/>
        </w:rPr>
        <w:t>元、其他收入</w:t>
      </w:r>
      <w:r>
        <w:rPr>
          <w:rFonts w:hint="eastAsia" w:ascii="仿宋_GB2312" w:hAnsi="仿宋_GB2312" w:eastAsia="仿宋_GB2312" w:cs="仿宋_GB2312"/>
          <w:sz w:val="32"/>
          <w:szCs w:val="32"/>
          <w:lang w:val="en-US" w:eastAsia="zh-CN"/>
        </w:rPr>
        <w:t>30000</w:t>
      </w:r>
      <w:r>
        <w:rPr>
          <w:rFonts w:hint="eastAsia" w:ascii="仿宋_GB2312" w:hAnsi="仿宋_GB2312" w:eastAsia="仿宋_GB2312" w:cs="仿宋_GB2312"/>
          <w:sz w:val="32"/>
          <w:szCs w:val="32"/>
        </w:rPr>
        <w:t xml:space="preserve">元 </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本年支出</w:t>
      </w:r>
      <w:r>
        <w:rPr>
          <w:rFonts w:hint="eastAsia" w:ascii="仿宋_GB2312" w:hAnsi="仿宋_GB2312" w:eastAsia="仿宋_GB2312" w:cs="仿宋_GB2312"/>
          <w:sz w:val="32"/>
          <w:szCs w:val="32"/>
          <w:lang w:val="en-US" w:eastAsia="zh-CN"/>
        </w:rPr>
        <w:t>3443871.56</w:t>
      </w:r>
      <w:r>
        <w:rPr>
          <w:rFonts w:hint="eastAsia" w:ascii="仿宋_GB2312" w:hAnsi="仿宋_GB2312" w:eastAsia="仿宋_GB2312" w:cs="仿宋_GB2312"/>
          <w:sz w:val="32"/>
          <w:szCs w:val="32"/>
        </w:rPr>
        <w:t>元，其中:基本支出</w:t>
      </w:r>
      <w:r>
        <w:rPr>
          <w:rFonts w:hint="eastAsia" w:ascii="仿宋_GB2312" w:hAnsi="仿宋_GB2312" w:eastAsia="仿宋_GB2312" w:cs="仿宋_GB2312"/>
          <w:sz w:val="32"/>
          <w:szCs w:val="32"/>
          <w:lang w:val="en-US" w:eastAsia="zh-CN"/>
        </w:rPr>
        <w:t>1638145.75</w:t>
      </w:r>
      <w:r>
        <w:rPr>
          <w:rFonts w:hint="eastAsia" w:ascii="仿宋_GB2312" w:hAnsi="仿宋_GB2312" w:eastAsia="仿宋_GB2312" w:cs="仿宋_GB2312"/>
          <w:sz w:val="32"/>
          <w:szCs w:val="32"/>
        </w:rPr>
        <w:t>元、项目支出</w:t>
      </w:r>
      <w:r>
        <w:rPr>
          <w:rFonts w:hint="eastAsia" w:ascii="仿宋_GB2312" w:hAnsi="仿宋_GB2312" w:eastAsia="仿宋_GB2312" w:cs="仿宋_GB2312"/>
          <w:sz w:val="32"/>
          <w:szCs w:val="32"/>
          <w:lang w:val="en-US" w:eastAsia="zh-CN"/>
        </w:rPr>
        <w:t>1805725.81</w:t>
      </w:r>
      <w:r>
        <w:rPr>
          <w:rFonts w:hint="eastAsia" w:ascii="仿宋_GB2312" w:hAnsi="仿宋_GB2312" w:eastAsia="仿宋_GB2312" w:cs="仿宋_GB2312"/>
          <w:sz w:val="32"/>
          <w:szCs w:val="32"/>
        </w:rPr>
        <w:t>元，用于事业基金弥补收支差额0元，结余分配0元，年末结转和结余</w:t>
      </w:r>
      <w:r>
        <w:rPr>
          <w:rFonts w:hint="eastAsia" w:ascii="仿宋_GB2312" w:hAnsi="仿宋_GB2312" w:eastAsia="仿宋_GB2312" w:cs="仿宋_GB2312"/>
          <w:sz w:val="32"/>
          <w:szCs w:val="32"/>
          <w:lang w:val="en-US" w:eastAsia="zh-CN"/>
        </w:rPr>
        <w:t>5005924.15</w:t>
      </w:r>
      <w:r>
        <w:rPr>
          <w:rFonts w:hint="eastAsia" w:ascii="仿宋_GB2312" w:hAnsi="仿宋_GB2312" w:eastAsia="仿宋_GB2312" w:cs="仿宋_GB2312"/>
          <w:sz w:val="32"/>
          <w:szCs w:val="32"/>
        </w:rPr>
        <w:t>元。</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2、2017年州财政局安排本部门预算</w:t>
      </w:r>
      <w:r>
        <w:rPr>
          <w:rFonts w:hint="eastAsia" w:ascii="仿宋_GB2312" w:hAnsi="仿宋_GB2312" w:eastAsia="仿宋_GB2312" w:cs="仿宋_GB2312"/>
          <w:sz w:val="32"/>
          <w:szCs w:val="32"/>
          <w:lang w:val="en-US" w:eastAsia="zh-CN"/>
        </w:rPr>
        <w:t>2368073.09</w:t>
      </w:r>
      <w:r>
        <w:rPr>
          <w:rFonts w:hint="eastAsia" w:ascii="仿宋_GB2312" w:hAnsi="仿宋_GB2312" w:eastAsia="仿宋_GB2312" w:cs="仿宋_GB2312"/>
          <w:sz w:val="32"/>
          <w:szCs w:val="32"/>
        </w:rPr>
        <w:t>元，其中：基本支出</w:t>
      </w:r>
      <w:r>
        <w:rPr>
          <w:rFonts w:hint="eastAsia" w:ascii="仿宋_GB2312" w:hAnsi="仿宋_GB2312" w:eastAsia="仿宋_GB2312" w:cs="仿宋_GB2312"/>
          <w:sz w:val="32"/>
          <w:szCs w:val="32"/>
          <w:lang w:val="en-US" w:eastAsia="zh-CN"/>
        </w:rPr>
        <w:t>1768073.09</w:t>
      </w:r>
      <w:r>
        <w:rPr>
          <w:rFonts w:hint="eastAsia" w:ascii="仿宋_GB2312" w:hAnsi="仿宋_GB2312" w:eastAsia="仿宋_GB2312" w:cs="仿宋_GB2312"/>
          <w:sz w:val="32"/>
          <w:szCs w:val="32"/>
        </w:rPr>
        <w:t>元、项目支出</w:t>
      </w:r>
      <w:r>
        <w:rPr>
          <w:rFonts w:hint="eastAsia" w:ascii="仿宋_GB2312" w:hAnsi="仿宋_GB2312" w:eastAsia="仿宋_GB2312" w:cs="仿宋_GB2312"/>
          <w:sz w:val="32"/>
          <w:szCs w:val="32"/>
          <w:lang w:val="en-US" w:eastAsia="zh-CN"/>
        </w:rPr>
        <w:t>600000</w:t>
      </w:r>
      <w:r>
        <w:rPr>
          <w:rFonts w:hint="eastAsia" w:ascii="仿宋_GB2312" w:hAnsi="仿宋_GB2312" w:eastAsia="仿宋_GB2312" w:cs="仿宋_GB2312"/>
          <w:sz w:val="32"/>
          <w:szCs w:val="32"/>
        </w:rPr>
        <w:t>元。</w:t>
      </w: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二、绩效自评工作情况</w:t>
      </w: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（一）2016年迪庆州防震减灾局工作取得的成效</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加强学习，深入领会州委、州政府、云南省地震局的重要会议精神。</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依法履职，推动全州防震减灾工作科学化发展。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3、切实加强震情跟踪和预测预报工作。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4、着力提升地震灾害防御基础能力。</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5、加大防震减灾科普宣传工作力度，提高公众防震减灾意识和能力。</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6、切实做好震灾应急准备工作。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7、加快推进8·28、8·31地震灾后恢复重建项目建设。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8、进一步加强党建工作。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9、全力做好维护藏区稳定（平安建设）工作。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lang w:eastAsia="zh-CN"/>
        </w:rPr>
        <w:t>扎实开展脱贫攻坚</w:t>
      </w:r>
      <w:r>
        <w:rPr>
          <w:rFonts w:hint="eastAsia" w:ascii="仿宋_GB2312" w:hAnsi="仿宋_GB2312" w:eastAsia="仿宋_GB2312" w:cs="仿宋_GB2312"/>
          <w:sz w:val="32"/>
          <w:szCs w:val="32"/>
        </w:rPr>
        <w:t>工作</w:t>
      </w:r>
      <w:r>
        <w:rPr>
          <w:rFonts w:hint="eastAsia" w:ascii="仿宋_GB2312" w:hAnsi="仿宋_GB2312" w:eastAsia="仿宋_GB2312" w:cs="仿宋_GB2312"/>
          <w:sz w:val="32"/>
          <w:szCs w:val="32"/>
          <w:lang w:eastAsia="zh-CN"/>
        </w:rPr>
        <w:t>。</w:t>
      </w:r>
    </w:p>
    <w:p>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lang w:val="en-US" w:eastAsia="zh-CN"/>
        </w:rPr>
        <w:t>2017年预算绩效目标计划</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 认真贯彻落实中央十八届五中、六中全会精神和省委九届十二次全会、州委第八次党代会精神，把握领会精神实质，全面指导防震减灾工作。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2、认真实施国家、省防震减灾“十三五”规划。</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3、紧盯震情，切实做好地震监测预报工作。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4、稳步推进抗震设防管理工作。</w:t>
      </w:r>
    </w:p>
    <w:p>
      <w:pPr>
        <w:ind w:left="638" w:leftChars="304" w:firstLine="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5、 按照“宁可备而不震，不可震而不备”工作要求。6、做好地震应急准备工作。</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7、做好防震减灾宣传教育工作。</w:t>
      </w: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8、继续强化防震减灾目标管理，推进防震减灾工作四个纳入。</w:t>
      </w: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9、积极响应党委政府号召，做好扶贫攻坚工作。</w:t>
      </w: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党风廉政建设工作。</w:t>
      </w: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10、党建和综治维稳工作。</w:t>
      </w:r>
    </w:p>
    <w:p>
      <w:pPr>
        <w:rPr>
          <w:rFonts w:hint="eastAsia" w:ascii="仿宋_GB2312" w:hAnsi="仿宋_GB2312" w:eastAsia="仿宋_GB2312" w:cs="仿宋_GB2312"/>
          <w:sz w:val="32"/>
          <w:szCs w:val="32"/>
          <w:lang w:val="en-US" w:eastAsia="zh-CN"/>
        </w:rPr>
      </w:pPr>
    </w:p>
    <w:p>
      <w:pPr>
        <w:rPr>
          <w:rFonts w:hint="eastAsia" w:ascii="仿宋_GB2312" w:hAnsi="仿宋_GB2312" w:eastAsia="仿宋_GB2312" w:cs="仿宋_GB2312"/>
          <w:sz w:val="32"/>
          <w:szCs w:val="32"/>
          <w:lang w:val="en-US" w:eastAsia="zh-CN"/>
        </w:rPr>
      </w:pPr>
    </w:p>
    <w:p>
      <w:pPr>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迪庆州防震减灾局</w:t>
      </w:r>
    </w:p>
    <w:p>
      <w:pPr>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0" w:name="_GoBack"/>
      <w:bookmarkEnd w:id="0"/>
      <w:r>
        <w:rPr>
          <w:rFonts w:hint="eastAsia" w:ascii="仿宋_GB2312" w:hAnsi="仿宋_GB2312" w:eastAsia="仿宋_GB2312" w:cs="仿宋_GB2312"/>
          <w:sz w:val="32"/>
          <w:szCs w:val="32"/>
          <w:lang w:val="en-US" w:eastAsia="zh-CN"/>
        </w:rPr>
        <w:t>2017年8月30日</w:t>
      </w:r>
    </w:p>
    <w:p>
      <w:pPr>
        <w:keepNext w:val="0"/>
        <w:keepLines w:val="0"/>
        <w:pageBreakBefore w:val="0"/>
        <w:widowControl w:val="0"/>
        <w:numPr>
          <w:ilvl w:val="0"/>
          <w:numId w:val="0"/>
        </w:numPr>
        <w:kinsoku/>
        <w:wordWrap/>
        <w:overflowPunct/>
        <w:topLinePunct w:val="0"/>
        <w:autoSpaceDE/>
        <w:autoSpaceDN/>
        <w:bidi w:val="0"/>
        <w:spacing w:before="0" w:beforeLines="0" w:after="0" w:afterLines="0" w:line="560" w:lineRule="exact"/>
        <w:ind w:left="0" w:leftChars="0" w:right="0" w:rightChars="0" w:firstLine="0" w:firstLineChars="0"/>
        <w:textAlignment w:val="auto"/>
        <w:outlineLvl w:val="9"/>
        <w:rPr>
          <w:rFonts w:hint="eastAsia" w:ascii="楷体" w:hAnsi="楷体" w:eastAsia="楷体" w:cs="方正小标宋简体"/>
          <w:b w:val="0"/>
          <w:bCs w:val="0"/>
          <w:sz w:val="32"/>
          <w:szCs w:val="44"/>
          <w:lang w:val="en-US" w:eastAsia="zh-CN"/>
        </w:rPr>
      </w:pPr>
    </w:p>
    <w:p>
      <w:pPr>
        <w:keepNext w:val="0"/>
        <w:keepLines w:val="0"/>
        <w:pageBreakBefore w:val="0"/>
        <w:widowControl w:val="0"/>
        <w:numPr>
          <w:ilvl w:val="0"/>
          <w:numId w:val="0"/>
        </w:numPr>
        <w:kinsoku/>
        <w:wordWrap/>
        <w:overflowPunct/>
        <w:topLinePunct w:val="0"/>
        <w:autoSpaceDE/>
        <w:autoSpaceDN/>
        <w:bidi w:val="0"/>
        <w:spacing w:before="0" w:beforeLines="0" w:after="0" w:afterLines="0" w:line="560" w:lineRule="exact"/>
        <w:ind w:left="0" w:leftChars="0" w:right="0" w:rightChars="0" w:firstLine="0" w:firstLineChars="0"/>
        <w:textAlignment w:val="auto"/>
        <w:outlineLvl w:val="9"/>
        <w:rPr>
          <w:rFonts w:hint="eastAsia" w:ascii="楷体" w:hAnsi="楷体" w:eastAsia="楷体" w:cs="方正小标宋简体"/>
          <w:b w:val="0"/>
          <w:bCs w:val="0"/>
          <w:sz w:val="32"/>
          <w:szCs w:val="44"/>
          <w:lang w:val="en-US" w:eastAsia="zh-CN"/>
        </w:rPr>
      </w:pPr>
    </w:p>
    <w:p>
      <w:pPr>
        <w:keepNext w:val="0"/>
        <w:keepLines w:val="0"/>
        <w:pageBreakBefore w:val="0"/>
        <w:widowControl w:val="0"/>
        <w:numPr>
          <w:numId w:val="0"/>
        </w:numPr>
        <w:kinsoku/>
        <w:wordWrap/>
        <w:overflowPunct/>
        <w:topLinePunct w:val="0"/>
        <w:autoSpaceDE/>
        <w:autoSpaceDN/>
        <w:bidi w:val="0"/>
        <w:spacing w:before="0" w:beforeLines="0" w:after="0" w:afterLines="0" w:line="560" w:lineRule="exact"/>
        <w:ind w:leftChars="400" w:right="0" w:rightChars="0"/>
        <w:jc w:val="left"/>
        <w:textAlignment w:val="auto"/>
        <w:outlineLvl w:val="9"/>
        <w:rPr>
          <w:rFonts w:hint="eastAsia" w:ascii="楷体" w:hAnsi="楷体" w:eastAsia="楷体"/>
          <w:sz w:val="32"/>
          <w:szCs w:val="32"/>
          <w:lang w:val="en-US" w:eastAsia="zh-CN"/>
        </w:rPr>
      </w:pPr>
    </w:p>
    <w:p>
      <w:pPr>
        <w:keepNext w:val="0"/>
        <w:keepLines w:val="0"/>
        <w:pageBreakBefore w:val="0"/>
        <w:widowControl w:val="0"/>
        <w:numPr>
          <w:numId w:val="0"/>
        </w:numPr>
        <w:kinsoku/>
        <w:wordWrap/>
        <w:overflowPunct/>
        <w:topLinePunct w:val="0"/>
        <w:autoSpaceDE/>
        <w:autoSpaceDN/>
        <w:bidi w:val="0"/>
        <w:spacing w:before="0" w:beforeLines="0" w:after="0" w:afterLines="0" w:line="560" w:lineRule="exact"/>
        <w:ind w:right="0" w:rightChars="0"/>
        <w:jc w:val="left"/>
        <w:textAlignment w:val="auto"/>
        <w:outlineLvl w:val="9"/>
        <w:rPr>
          <w:rFonts w:hint="eastAsia" w:ascii="楷体" w:hAnsi="楷体" w:eastAsia="楷体" w:cs="宋体"/>
          <w:sz w:val="32"/>
          <w:szCs w:val="32"/>
          <w:lang w:val="en-US" w:eastAsia="zh-CN"/>
        </w:rPr>
      </w:pPr>
    </w:p>
    <w:p>
      <w:pPr>
        <w:pStyle w:val="2"/>
        <w:keepNext w:val="0"/>
        <w:keepLines w:val="0"/>
        <w:widowControl/>
        <w:suppressLineNumbers w:val="0"/>
        <w:spacing w:before="0" w:beforeAutospacing="0" w:after="0" w:afterAutospacing="0"/>
        <w:ind w:left="0" w:right="0" w:firstLine="640"/>
        <w:jc w:val="both"/>
        <w:rPr>
          <w:rFonts w:hint="default" w:ascii="仿宋_GB2312" w:hAnsi="Times New Roman" w:eastAsia="仿宋_GB2312" w:cs="仿宋_GB2312"/>
          <w:color w:val="000000"/>
          <w:sz w:val="32"/>
          <w:szCs w:val="32"/>
        </w:rPr>
      </w:pPr>
    </w:p>
    <w:p>
      <w:pPr>
        <w:numPr>
          <w:numId w:val="0"/>
        </w:numPr>
        <w:jc w:val="both"/>
        <w:rPr>
          <w:rFonts w:hint="default" w:ascii="宋体" w:hAnsi="宋体" w:eastAsia="宋体" w:cs="宋体"/>
          <w:b w:val="0"/>
          <w:i w:val="0"/>
          <w:caps w:val="0"/>
          <w:color w:val="777777"/>
          <w:spacing w:val="0"/>
          <w:sz w:val="24"/>
          <w:szCs w:val="24"/>
          <w:shd w:val="clear" w:fill="FFFFFF"/>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仿宋_GBK">
    <w:altName w:val="Arial Unicode MS"/>
    <w:panose1 w:val="03000509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方正楷体_GBK">
    <w:altName w:val="Arial Unicode MS"/>
    <w:panose1 w:val="03000509000000000000"/>
    <w:charset w:val="86"/>
    <w:family w:val="script"/>
    <w:pitch w:val="default"/>
    <w:sig w:usb0="00000000" w:usb1="00000000" w:usb2="00000000" w:usb3="00000000" w:csb0="00040000" w:csb1="00000000"/>
  </w:font>
  <w:font w:name="方正黑体_GBK">
    <w:altName w:val="Arial Unicode MS"/>
    <w:panose1 w:val="03000509000000000000"/>
    <w:charset w:val="86"/>
    <w:family w:val="script"/>
    <w:pitch w:val="default"/>
    <w:sig w:usb0="00000000" w:usb1="00000000" w:usb2="00000000" w:usb3="00000000" w:csb0="00040000" w:csb1="00000000"/>
  </w:font>
  <w:font w:name="方正仿宋简体">
    <w:altName w:val="仿宋"/>
    <w:panose1 w:val="03000509000000000000"/>
    <w:charset w:val="86"/>
    <w:family w:val="auto"/>
    <w:pitch w:val="default"/>
    <w:sig w:usb0="00000000" w:usb1="00000000" w:usb2="00000000" w:usb3="00000000" w:csb0="00040000" w:csb1="00000000"/>
  </w:font>
  <w:font w:name="华康简仿宋">
    <w:altName w:val="仿宋"/>
    <w:panose1 w:val="02010609000101010101"/>
    <w:charset w:val="86"/>
    <w:family w:val="auto"/>
    <w:pitch w:val="default"/>
    <w:sig w:usb0="00000000" w:usb1="00000000" w:usb2="00000000" w:usb3="00000000" w:csb0="00040001" w:csb1="00000000"/>
  </w:font>
  <w:font w:name="方正小标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楷体_GBK">
    <w:altName w:val="Arial Unicode MS"/>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6728F"/>
    <w:multiLevelType w:val="singleLevel"/>
    <w:tmpl w:val="59A6728F"/>
    <w:lvl w:ilvl="0" w:tentative="0">
      <w:start w:val="1"/>
      <w:numFmt w:val="decimal"/>
      <w:suff w:val="nothing"/>
      <w:lvlText w:val="%1、"/>
      <w:lvlJc w:val="left"/>
    </w:lvl>
  </w:abstractNum>
  <w:abstractNum w:abstractNumId="1">
    <w:nsid w:val="59A672D3"/>
    <w:multiLevelType w:val="singleLevel"/>
    <w:tmpl w:val="59A672D3"/>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7339B0"/>
    <w:rsid w:val="287339B0"/>
    <w:rsid w:val="575D668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100" w:beforeAutospacing="1" w:after="100" w:afterAutospacing="1"/>
      <w:ind w:left="0" w:right="0"/>
      <w:jc w:val="left"/>
    </w:pPr>
    <w:rPr>
      <w:kern w:val="0"/>
      <w:sz w:val="24"/>
      <w:lang w:val="en-US" w:eastAsia="zh-CN" w:bidi="ar"/>
    </w:rPr>
  </w:style>
  <w:style w:type="character" w:styleId="4">
    <w:name w:val="FollowedHyperlink"/>
    <w:basedOn w:val="3"/>
    <w:uiPriority w:val="0"/>
    <w:rPr>
      <w:color w:val="000000"/>
      <w:u w:val="none"/>
    </w:rPr>
  </w:style>
  <w:style w:type="character" w:styleId="5">
    <w:name w:val="Hyperlink"/>
    <w:basedOn w:val="3"/>
    <w:uiPriority w:val="0"/>
    <w:rPr>
      <w:color w:val="00000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2017-08-30T03:42:00Z</dcterms:created>
  <dc:creator>Administrator</dc:creator>
  <cp:lastModifiedBy>Administrator</cp:lastModifiedBy>
  <dcterms:modified xsi:type="dcterms:W3CDTF">2017-08-30T07:42:39Z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